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2F" w:rsidRPr="00A777AE" w:rsidRDefault="00505D2F" w:rsidP="00505D2F">
      <w:pPr>
        <w:jc w:val="right"/>
      </w:pPr>
      <w:bookmarkStart w:id="0" w:name="_GoBack"/>
      <w:bookmarkEnd w:id="0"/>
      <w:r>
        <w:rPr>
          <w:rStyle w:val="s1"/>
        </w:rPr>
        <w:t>Решение Коллегии Евразийской экономической комиссии от 26 апреля 2012 года № 39</w:t>
      </w:r>
    </w:p>
    <w:p w:rsidR="00505D2F" w:rsidRDefault="00505D2F" w:rsidP="00505D2F">
      <w:pPr>
        <w:jc w:val="right"/>
      </w:pPr>
      <w:r>
        <w:rPr>
          <w:rStyle w:val="s1"/>
        </w:rPr>
        <w:t>О внесении изменений и дополнений в Инструкцию о порядке заполнения декларации на товары, утвержденную Решением Комиссии Таможенного союза от 20 мая 2010 года № 257</w:t>
      </w:r>
    </w:p>
    <w:p w:rsidR="00505D2F" w:rsidRDefault="00505D2F" w:rsidP="00505D2F">
      <w:pPr>
        <w:jc w:val="right"/>
      </w:pPr>
      <w:r>
        <w:rPr>
          <w:rStyle w:val="s1"/>
        </w:rPr>
        <w:t>(г. Москва)</w:t>
      </w:r>
    </w:p>
    <w:p w:rsidR="00505D2F" w:rsidRPr="00505D2F" w:rsidRDefault="00505D2F" w:rsidP="00505D2F">
      <w:pPr>
        <w:jc w:val="center"/>
        <w:rPr>
          <w:b/>
          <w:u w:val="single"/>
        </w:rPr>
      </w:pPr>
      <w:r>
        <w:rPr>
          <w:rStyle w:val="s1"/>
        </w:rPr>
        <w:t xml:space="preserve">XII. Порядок внесения изменений и (или) дополнений в сведения, заявленные в </w:t>
      </w:r>
      <w:r w:rsidRPr="00505D2F">
        <w:rPr>
          <w:rStyle w:val="s1"/>
          <w:i/>
          <w:u w:val="single"/>
        </w:rPr>
        <w:t>ДТ, до выпуска товаров</w:t>
      </w:r>
    </w:p>
    <w:p w:rsidR="00505D2F" w:rsidRDefault="00505D2F" w:rsidP="00505D2F">
      <w:pPr>
        <w:ind w:firstLine="720"/>
        <w:jc w:val="both"/>
      </w:pPr>
      <w: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44. Сведения, заявленные в ДТ, могут быть изменены и (или) дополнены путем их корректировки после регистрации ДТ и до принятия решения о выпуске товаров при соблюдении условий, предусмотренных статьей 191 Кодекса.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Изменения и (или) дополнения в ДТ вносятся уполномоченным работником декларанта или таможенного представителя (далее - уполномоченное лицо), от руки, путем зачеркивания ошибочных сведений и надписывания над ними верных сведений печатными символами.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Каждое изменение и (или) дополнение заверяются подписью уполномоченного лица, с проставлением оттиска печати, если в соответствии с законодательством государства - члена Таможенного союза лицо должно иметь печать.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 случае если вносимые изменения и (или) дополнения делают ДТ неразборчивой и трудночитаемой, то используется корректировка декларации на товары (далее - КДТ1) и, при необходимости, дополнительные листы к ней (далее - КДТ2) по форме, утверждаемой Решением Комиссии Таможенного союза.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Измененные, дополненные сведения, внесенные в КДТ1 (КДТ2), являются неотъемлемой частью ДТ, к которой они подаются.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 случае внесения изменений и (или) дополнений в сведения об одном товаре используется КДТ1.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При внесении изменений и (или) дополнений в сведения о двух и более товарах, заявленных в одной ДТ, в дополнение к КДТ1 используются КДТ2, в каждом из которых могут вноситься изменения, дополнения по трем товарам.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КДТ1 (КДТ2) составляется уполномоченным лицом в трех экземплярах.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Первый экземпляр КДТ1 (КДТ2) остается в таможенном органе и используется для таможенных целей.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Второй и третий экземпляры КДТ1 (КДТ2) возвращаются лицу, заполнившему КДТ1 (КДТ2).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При заполнении КДТ1 (КДТ2) лицо, заполнившее КДТ1 (КДТ2), представляет таможенному органу ее электронную копию.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При корректировке ДТ до выпуска товаров в третьем подразделе графы 1 КДТ1 указывается символ «ДВ».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 соответствующие графы КДТ1 (КДТ2) переносятся следующие сведения из ДТ: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lastRenderedPageBreak/>
        <w:t>регистрационный номер ДТ;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сведения о декларанте (в КДТ2 не указываются);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порядковый номер товара, сведения о котором изменяются, дополняются;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сведения о лице, составившем изменения и (или) дополнения (в КДТ2 не указываются).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Измененные и (или) дополненные сведения вносятся в соответствующие графы КДТ1 (КДТ2) в соответствии с порядком заполнения граф ДТ, предусмотренным настоящей Инструкцией, с учетом следующих особенностей.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При внесении изменений, дополнений в сведения, заявленные в графах ДТ, в соответствующую графу КДТ1 (КДТ2) переносятся все сведения из графы ДТ с учетом вносимых изменений, дополнений.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Скорректированные сведения, указанные в КДТ1 (КДТ2), заверяются лицом, составившим ДТ, или уполномоченным на это работником этого лица в графе 54 КДТ1.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Изменение и (или) дополнение сведений, указанных в ДТ, должностным лицом производится только при соблюдении условий, установленных пунктом 3 статьи 191 Кодекса. При этом каждое изменение, дополнение заверяется подписью должностного лица, внесшего изменения и (или) дополнения, с проставлением даты и оттиска личной номерной печати.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Во всех случаях внесения изменений и (или) дополнений в ДТ должностным лицом в графе «D» ДТ и КДТ1 производятся соответствующие отметки в виде записи: «Скорректированы графы: _____ «, с указанием порядкового номера товара и номеров граф, в которые внесены изменения и (или) дополнения, с проставлением даты, подписи, а также оттиска личной номерной печати.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 графе «С» КДТ2 проставляются дата, подпись, а также оттиск личной номерной печати должностного лица.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jc w:val="right"/>
      </w:pPr>
      <w:r>
        <w:rPr>
          <w:rStyle w:val="s1"/>
        </w:rPr>
        <w:t xml:space="preserve">Решение Комиссии Таможенного союза от 20 мая 2010 года № 255 </w:t>
      </w:r>
    </w:p>
    <w:p w:rsidR="00505D2F" w:rsidRDefault="00505D2F" w:rsidP="00505D2F">
      <w:pPr>
        <w:jc w:val="right"/>
      </w:pPr>
      <w:r>
        <w:rPr>
          <w:rStyle w:val="s1"/>
        </w:rPr>
        <w:t>О порядке внесения изменений и (или) дополнений в декларацию на товары после выпуска товаров</w:t>
      </w:r>
    </w:p>
    <w:p w:rsidR="00505D2F" w:rsidRDefault="00505D2F" w:rsidP="00505D2F">
      <w:pPr>
        <w:jc w:val="right"/>
      </w:pPr>
      <w:r>
        <w:rPr>
          <w:rStyle w:val="s1"/>
        </w:rPr>
        <w:t>(г. Санкт-Петербург)</w:t>
      </w:r>
    </w:p>
    <w:p w:rsidR="00505D2F" w:rsidRDefault="00505D2F" w:rsidP="00505D2F">
      <w:pPr>
        <w:ind w:firstLine="400"/>
        <w:jc w:val="both"/>
      </w:pPr>
      <w: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В соответствии с </w:t>
      </w:r>
      <w:bookmarkStart w:id="1" w:name="sub1001461111"/>
      <w:r>
        <w:rPr>
          <w:rStyle w:val="s0"/>
        </w:rPr>
        <w:fldChar w:fldCharType="begin"/>
      </w:r>
      <w:r>
        <w:rPr>
          <w:rStyle w:val="s0"/>
        </w:rPr>
        <w:instrText xml:space="preserve"> HYPERLINK "jl:30482970.1910200%20"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пунктом 2 статьи 191</w:t>
      </w:r>
      <w:r>
        <w:rPr>
          <w:rStyle w:val="s0"/>
        </w:rPr>
        <w:fldChar w:fldCharType="end"/>
      </w:r>
      <w:r>
        <w:rPr>
          <w:rStyle w:val="s0"/>
        </w:rPr>
        <w:t xml:space="preserve"> Таможенного кодекса Таможенного союза Комиссия Таможенного союза </w:t>
      </w:r>
      <w:r>
        <w:rPr>
          <w:rStyle w:val="s0"/>
          <w:b/>
          <w:bCs/>
        </w:rPr>
        <w:t>решила</w:t>
      </w:r>
      <w:r>
        <w:rPr>
          <w:rStyle w:val="s0"/>
        </w:rPr>
        <w:t>: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1. Утвердить </w:t>
      </w:r>
      <w:bookmarkStart w:id="2" w:name="sub1001461115"/>
      <w:r>
        <w:rPr>
          <w:rStyle w:val="s0"/>
        </w:rPr>
        <w:fldChar w:fldCharType="begin"/>
      </w:r>
      <w:r>
        <w:rPr>
          <w:rStyle w:val="s0"/>
        </w:rPr>
        <w:instrText xml:space="preserve"> HYPERLINK "jl:30753790.100%20"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Инструкцию</w:t>
      </w:r>
      <w:r>
        <w:rPr>
          <w:rStyle w:val="s0"/>
        </w:rPr>
        <w:fldChar w:fldCharType="end"/>
      </w:r>
      <w:bookmarkEnd w:id="2"/>
      <w:r>
        <w:rPr>
          <w:rStyle w:val="s0"/>
        </w:rPr>
        <w:t xml:space="preserve"> о порядке внесения изменений и (или) дополнений в декларацию на товары после выпуска товаров (</w:t>
      </w:r>
      <w:r>
        <w:t>прилагается</w:t>
      </w:r>
      <w:r>
        <w:rPr>
          <w:rStyle w:val="s0"/>
        </w:rPr>
        <w:t>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2. Настоящее решение вступает в силу с даты вступления в силу </w:t>
      </w:r>
      <w:r>
        <w:t>Договора о Таможенном кодексе Таможенного союза</w:t>
      </w:r>
      <w:r>
        <w:rPr>
          <w:rStyle w:val="s0"/>
        </w:rPr>
        <w:t xml:space="preserve">, утвержденного </w:t>
      </w:r>
      <w:bookmarkStart w:id="3" w:name="sub1001444912"/>
      <w:r>
        <w:rPr>
          <w:rStyle w:val="s0"/>
        </w:rPr>
        <w:fldChar w:fldCharType="begin"/>
      </w:r>
      <w:r>
        <w:rPr>
          <w:rStyle w:val="s0"/>
        </w:rPr>
        <w:instrText xml:space="preserve"> HYPERLINK "jl:30529480.600%20"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Решением</w:t>
      </w:r>
      <w:r>
        <w:rPr>
          <w:rStyle w:val="s0"/>
        </w:rPr>
        <w:fldChar w:fldCharType="end"/>
      </w:r>
      <w:bookmarkEnd w:id="3"/>
      <w:r>
        <w:rPr>
          <w:rStyle w:val="s0"/>
        </w:rPr>
        <w:t xml:space="preserve"> Межгосударственного Совета Евразийского экономического сообщества (высшего органа Таможенного союза) на уровне глав государств от 27 ноября 2009 г. № 17. </w:t>
      </w:r>
    </w:p>
    <w:p w:rsidR="00505D2F" w:rsidRDefault="00505D2F" w:rsidP="00505D2F">
      <w:r>
        <w:t> </w:t>
      </w:r>
    </w:p>
    <w:p w:rsidR="00505D2F" w:rsidRDefault="00505D2F" w:rsidP="00505D2F">
      <w:pPr>
        <w:jc w:val="right"/>
      </w:pPr>
      <w:bookmarkStart w:id="4" w:name="SUB100"/>
      <w:bookmarkEnd w:id="4"/>
      <w:r>
        <w:rPr>
          <w:rStyle w:val="s0"/>
        </w:rPr>
        <w:t>УТВЕРЖДЕНА</w:t>
      </w:r>
    </w:p>
    <w:bookmarkStart w:id="5" w:name="sub1001461112"/>
    <w:p w:rsidR="00505D2F" w:rsidRDefault="00505D2F" w:rsidP="00505D2F">
      <w:pPr>
        <w:jc w:val="right"/>
      </w:pPr>
      <w:r>
        <w:rPr>
          <w:rStyle w:val="s0"/>
        </w:rPr>
        <w:lastRenderedPageBreak/>
        <w:fldChar w:fldCharType="begin"/>
      </w:r>
      <w:r>
        <w:rPr>
          <w:rStyle w:val="s0"/>
        </w:rPr>
        <w:instrText xml:space="preserve"> HYPERLINK "jl:30753790.0%20"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Решением</w:t>
      </w:r>
      <w:r>
        <w:rPr>
          <w:rStyle w:val="s0"/>
        </w:rPr>
        <w:fldChar w:fldCharType="end"/>
      </w:r>
      <w:bookmarkEnd w:id="5"/>
      <w:r>
        <w:rPr>
          <w:rStyle w:val="s0"/>
        </w:rPr>
        <w:t xml:space="preserve"> Комиссии</w:t>
      </w:r>
    </w:p>
    <w:p w:rsidR="00505D2F" w:rsidRDefault="00505D2F" w:rsidP="00505D2F">
      <w:pPr>
        <w:jc w:val="right"/>
      </w:pPr>
      <w:r>
        <w:rPr>
          <w:rStyle w:val="s0"/>
        </w:rPr>
        <w:t>Таможенного союза</w:t>
      </w:r>
    </w:p>
    <w:p w:rsidR="00505D2F" w:rsidRDefault="00505D2F" w:rsidP="00505D2F">
      <w:pPr>
        <w:jc w:val="right"/>
      </w:pPr>
      <w:r>
        <w:rPr>
          <w:rStyle w:val="s0"/>
        </w:rPr>
        <w:t>от 20 мая 2010 года № 255</w:t>
      </w:r>
    </w:p>
    <w:p w:rsidR="00505D2F" w:rsidRDefault="00505D2F" w:rsidP="00505D2F">
      <w:pPr>
        <w:jc w:val="right"/>
      </w:pPr>
      <w:r>
        <w:t> </w:t>
      </w:r>
    </w:p>
    <w:p w:rsidR="00505D2F" w:rsidRDefault="00505D2F" w:rsidP="00505D2F">
      <w:pPr>
        <w:jc w:val="center"/>
      </w:pPr>
      <w:r>
        <w:rPr>
          <w:rStyle w:val="s1"/>
        </w:rPr>
        <w:t> </w:t>
      </w:r>
    </w:p>
    <w:p w:rsidR="00505D2F" w:rsidRDefault="00505D2F" w:rsidP="00505D2F">
      <w:pPr>
        <w:jc w:val="right"/>
      </w:pPr>
      <w:r>
        <w:rPr>
          <w:rStyle w:val="s1"/>
        </w:rPr>
        <w:t xml:space="preserve">Инструкция </w:t>
      </w:r>
    </w:p>
    <w:p w:rsidR="00505D2F" w:rsidRDefault="00505D2F" w:rsidP="00505D2F">
      <w:pPr>
        <w:jc w:val="right"/>
      </w:pPr>
      <w:r>
        <w:rPr>
          <w:rStyle w:val="s1"/>
        </w:rPr>
        <w:t xml:space="preserve">о порядке внесения изменений и (или) дополнений в декларацию </w:t>
      </w:r>
    </w:p>
    <w:p w:rsidR="00505D2F" w:rsidRDefault="00505D2F" w:rsidP="00505D2F">
      <w:pPr>
        <w:jc w:val="right"/>
      </w:pPr>
      <w:r>
        <w:rPr>
          <w:rStyle w:val="s1"/>
        </w:rPr>
        <w:t xml:space="preserve">на товары </w:t>
      </w:r>
      <w:r w:rsidRPr="00505D2F">
        <w:rPr>
          <w:rStyle w:val="s1"/>
          <w:i/>
          <w:u w:val="single"/>
        </w:rPr>
        <w:t>после выпуска товаров</w:t>
      </w:r>
    </w:p>
    <w:p w:rsidR="00505D2F" w:rsidRDefault="00505D2F" w:rsidP="00505D2F">
      <w:pPr>
        <w:jc w:val="center"/>
      </w:pPr>
      <w:r>
        <w:t> </w:t>
      </w:r>
    </w:p>
    <w:p w:rsidR="00505D2F" w:rsidRDefault="00505D2F" w:rsidP="00505D2F">
      <w:pPr>
        <w:jc w:val="center"/>
      </w:pPr>
      <w:bookmarkStart w:id="6" w:name="SUB101"/>
      <w:bookmarkEnd w:id="6"/>
      <w:r>
        <w:rPr>
          <w:rStyle w:val="s1"/>
        </w:rPr>
        <w:t>I. Общие положения</w:t>
      </w:r>
    </w:p>
    <w:p w:rsidR="00505D2F" w:rsidRDefault="00505D2F" w:rsidP="00505D2F">
      <w:pPr>
        <w:jc w:val="center"/>
      </w:pPr>
      <w: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1. Настоящая Инструкция о порядке внесения изменений и (или) дополнений в декларацию на товары после выпуска товаров (далее - Инструкция) разработана в соответствии с </w:t>
      </w:r>
      <w:hyperlink r:id="rId4" w:history="1">
        <w:r>
          <w:rPr>
            <w:rStyle w:val="a3"/>
            <w:b/>
            <w:bCs/>
            <w:color w:val="000080"/>
          </w:rPr>
          <w:t>пунктом 2 статьи 191</w:t>
        </w:r>
      </w:hyperlink>
      <w:bookmarkEnd w:id="1"/>
      <w:r>
        <w:rPr>
          <w:rStyle w:val="s0"/>
        </w:rPr>
        <w:t xml:space="preserve"> Таможенного кодекса Таможенного союза (далее - Кодекс) и определяет случаи и порядок внесения изменений и (или) дополнений в декларацию на товары (далее - ДТ) после выпуска товаров.</w:t>
      </w:r>
    </w:p>
    <w:p w:rsidR="00505D2F" w:rsidRDefault="00505D2F" w:rsidP="00505D2F">
      <w:pPr>
        <w:ind w:firstLine="400"/>
        <w:jc w:val="both"/>
      </w:pPr>
      <w:bookmarkStart w:id="7" w:name="SUB200"/>
      <w:bookmarkEnd w:id="7"/>
      <w:r>
        <w:rPr>
          <w:rStyle w:val="s0"/>
        </w:rPr>
        <w:t>2. Сведения, заявленные в ДТ, могут быть изменены и (или) дополнены после выпуска товаров в соответствии с решением таможенного органа, принимаемым по результатам проведения таможенного контроля после выпуска товаров, в том числе при рассмотрении мотивированного письменного обращения декларанта или таможенного представителя, в случаях: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1) установления или выявления недостаточности и (или) несоответствия сведений, заявленных в ДТ, сведениям, подлежащим указанию в ДТ;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2) рассмотрения жалоб на решения, действия (бездействие) таможенных органов и их должностных лиц в порядке, установленном законодательством государств-членов Таможенного союза;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3) обоснования необходимости внесения изменений и (или) дополнений в отметки и записи в графах, заполняемых должностным лицом таможенного органа (далее - должностное лицо);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4) вступления в законную силу решений судебных органов государств-членов Таможенного союза, предусматривающих внесение изменений и (или) дополнений сведений, заявленных в ДТ;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5) выявления несоблюдения условий заявленной таможенной процедуры и (или) ограничений по пользованию и (или) распоряжению товарами, либо возникновения иных обстоятельств (событий), при которых наступает срок уплаты таможенных пошлин, налогов, таможенных сборов, процентов и (или) пеней;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6) возникновения оснований для возврата (зачета, последующего использования плательщиком) уплаченных (взысканных) таможенных пошлин, налогов, таможенных сборов, процентов и (или) пеней;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7) продления сроков действия таможенной процедуры.</w:t>
      </w:r>
    </w:p>
    <w:p w:rsidR="00505D2F" w:rsidRDefault="00505D2F" w:rsidP="00505D2F">
      <w:pPr>
        <w:ind w:firstLine="400"/>
        <w:jc w:val="both"/>
      </w:pPr>
      <w:bookmarkStart w:id="8" w:name="SUB300"/>
      <w:bookmarkEnd w:id="8"/>
      <w:r>
        <w:rPr>
          <w:rStyle w:val="s0"/>
        </w:rPr>
        <w:lastRenderedPageBreak/>
        <w:t xml:space="preserve">3. Внесение изменений и (или) дополнений в ДТ и ее электронную копию после выпуска товаров допускается в течение срока, предусмотренного в соответствии со </w:t>
      </w:r>
      <w:bookmarkStart w:id="9" w:name="sub1001289822"/>
      <w:r>
        <w:rPr>
          <w:rStyle w:val="s0"/>
        </w:rPr>
        <w:fldChar w:fldCharType="begin"/>
      </w:r>
      <w:r>
        <w:rPr>
          <w:rStyle w:val="s0"/>
        </w:rPr>
        <w:instrText xml:space="preserve"> HYPERLINK "jl:30482970.990000%20"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статьей 99</w:t>
      </w:r>
      <w:r>
        <w:rPr>
          <w:rStyle w:val="s0"/>
        </w:rPr>
        <w:fldChar w:fldCharType="end"/>
      </w:r>
      <w:r>
        <w:rPr>
          <w:rStyle w:val="s0"/>
        </w:rPr>
        <w:t xml:space="preserve"> Кодекса.</w:t>
      </w:r>
    </w:p>
    <w:p w:rsidR="00505D2F" w:rsidRDefault="00505D2F" w:rsidP="00505D2F">
      <w:pPr>
        <w:ind w:firstLine="400"/>
        <w:jc w:val="both"/>
      </w:pPr>
      <w:bookmarkStart w:id="10" w:name="SUB400"/>
      <w:bookmarkEnd w:id="10"/>
      <w:r>
        <w:rPr>
          <w:rStyle w:val="s0"/>
        </w:rPr>
        <w:t>4. Обращение декларанта или таможенного представителя о внесении изменений и (или) дополнений сведений, заявленных в ДТ, после выпуска товаров (далее - обращение) составляется в произвольной форме с обоснованием необходимости таких изменений и (или) дополнений, указанием регистрационного номера ДТ и перечня прилагаемых документов.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К обращению прилагаются корректировка декларации на товары (далее - КДТ), заполненная по установленной форме, ее электронная копия и документы, указанные в перечне.</w:t>
      </w:r>
    </w:p>
    <w:p w:rsidR="00505D2F" w:rsidRDefault="00505D2F" w:rsidP="00505D2F">
      <w:pPr>
        <w:ind w:firstLine="400"/>
        <w:jc w:val="both"/>
      </w:pPr>
      <w:bookmarkStart w:id="11" w:name="SUB500"/>
      <w:bookmarkEnd w:id="11"/>
      <w:r>
        <w:rPr>
          <w:rStyle w:val="s0"/>
        </w:rPr>
        <w:t>5. Обращение не может являться основанием для принятия таможенным органом решения о внесении изменений и (или) дополнений в ДТ в случаях, если: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1) обращение поступило в таможенный орган после истечения срока, предусмотренного в соответствии со </w:t>
      </w:r>
      <w:hyperlink r:id="rId5" w:history="1">
        <w:r>
          <w:rPr>
            <w:rStyle w:val="a3"/>
            <w:b/>
            <w:bCs/>
            <w:color w:val="000080"/>
          </w:rPr>
          <w:t>статьей 99</w:t>
        </w:r>
      </w:hyperlink>
      <w:bookmarkEnd w:id="9"/>
      <w:r>
        <w:rPr>
          <w:rStyle w:val="s0"/>
        </w:rPr>
        <w:t xml:space="preserve"> Кодекса;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2) сведения, указанные в обращении и предлагаемые для внесения в ДТ, не подтверждены документально;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3) таможенный орган установил недостоверность сведений, указанных в обращении и предлагаемых для внесения в ДТ.</w:t>
      </w:r>
    </w:p>
    <w:p w:rsidR="00505D2F" w:rsidRDefault="00505D2F" w:rsidP="00505D2F">
      <w:pPr>
        <w:ind w:firstLine="400"/>
        <w:jc w:val="both"/>
      </w:pPr>
      <w:bookmarkStart w:id="12" w:name="SUB600"/>
      <w:bookmarkEnd w:id="12"/>
      <w:r>
        <w:rPr>
          <w:rStyle w:val="s0"/>
        </w:rPr>
        <w:t>6. Рассмотрение таможенным органом обращения производится в соответствии с законодательством государств-членов Таможенного союза.</w:t>
      </w:r>
    </w:p>
    <w:p w:rsidR="00505D2F" w:rsidRDefault="00505D2F" w:rsidP="00505D2F">
      <w:pPr>
        <w:ind w:firstLine="400"/>
        <w:jc w:val="both"/>
      </w:pPr>
      <w:bookmarkStart w:id="13" w:name="SUB700"/>
      <w:bookmarkEnd w:id="13"/>
      <w:r>
        <w:rPr>
          <w:rStyle w:val="s0"/>
        </w:rPr>
        <w:t>7. таможенный орган, рассматривающий обращение, вправе запрашивать документы и сведения, необходимые для принятия решения, а также устанавливать срок их предоставления, который должен быть достаточным для предоставления запрашиваемых документов и сведений.</w:t>
      </w:r>
    </w:p>
    <w:p w:rsidR="00505D2F" w:rsidRDefault="00505D2F" w:rsidP="00505D2F">
      <w:pPr>
        <w:ind w:firstLine="400"/>
        <w:jc w:val="both"/>
      </w:pPr>
      <w:bookmarkStart w:id="14" w:name="SUB800"/>
      <w:bookmarkEnd w:id="14"/>
      <w:r>
        <w:rPr>
          <w:rStyle w:val="s0"/>
        </w:rPr>
        <w:t>8. Решение таможенного органа об изменении и (или) дополнении сведений, заявленных в ДТ, после выпуска товаров принимается в письменной форме в соответствии с законодательством государств-членов Таможенного союза. О принятом решении таможенный орган информирует декларанта или таможенного представителя.</w:t>
      </w:r>
    </w:p>
    <w:p w:rsidR="00505D2F" w:rsidRDefault="00505D2F" w:rsidP="00505D2F">
      <w:pPr>
        <w:ind w:firstLine="400"/>
        <w:jc w:val="both"/>
      </w:pPr>
      <w:bookmarkStart w:id="15" w:name="SUB900"/>
      <w:bookmarkEnd w:id="15"/>
      <w:r>
        <w:rPr>
          <w:rStyle w:val="s0"/>
        </w:rPr>
        <w:t xml:space="preserve">9. Положения настоящей Инструкции не применяются в случаях, когда внесение изменений и (или) дополнений сведений, заявленных в ДТ, после выпуска товаров осуществляется путем проведения корректировки таможенной стоимости товаров в соответствии со </w:t>
      </w:r>
      <w:bookmarkStart w:id="16" w:name="sub1001287609"/>
      <w:r>
        <w:rPr>
          <w:rStyle w:val="s0"/>
        </w:rPr>
        <w:fldChar w:fldCharType="begin"/>
      </w:r>
      <w:r>
        <w:rPr>
          <w:rStyle w:val="s0"/>
        </w:rPr>
        <w:instrText xml:space="preserve"> HYPERLINK "jl:30482970.680000%20"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статьей 68</w:t>
      </w:r>
      <w:r>
        <w:rPr>
          <w:rStyle w:val="s0"/>
        </w:rPr>
        <w:fldChar w:fldCharType="end"/>
      </w:r>
      <w:bookmarkEnd w:id="16"/>
      <w:r>
        <w:rPr>
          <w:rStyle w:val="s0"/>
        </w:rPr>
        <w:t xml:space="preserve"> Кодекса.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При этом корректировка таможенной стоимости товаров производится в порядке и по формам, определенным иным решением Комиссии Таможенного союза.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jc w:val="center"/>
      </w:pPr>
      <w:bookmarkStart w:id="17" w:name="SUB1000"/>
      <w:bookmarkEnd w:id="17"/>
      <w:r>
        <w:rPr>
          <w:rStyle w:val="s1"/>
        </w:rPr>
        <w:t>II. Порядок внесения изменений и (или) дополнений в ДТ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10. Если изменения и (или) дополнения сведений, заявленных в ДТ, после выпуска товаров осуществляются по обращению декларанта или таможенного представителя, обязанность предоставления в таможенный </w:t>
      </w:r>
      <w:r>
        <w:rPr>
          <w:rStyle w:val="s0"/>
        </w:rPr>
        <w:lastRenderedPageBreak/>
        <w:t>орган документов, подтверждающих такие изменения и (или) дополнения, а также КДТ возлагается на декларанта или таможенного представителя.</w:t>
      </w:r>
    </w:p>
    <w:p w:rsidR="00505D2F" w:rsidRDefault="00505D2F" w:rsidP="00505D2F">
      <w:pPr>
        <w:ind w:firstLine="400"/>
        <w:jc w:val="both"/>
      </w:pPr>
      <w:bookmarkStart w:id="18" w:name="SUB1100"/>
      <w:bookmarkEnd w:id="18"/>
      <w:r>
        <w:rPr>
          <w:rStyle w:val="s0"/>
        </w:rPr>
        <w:t xml:space="preserve">11. При внесении изменений и (или) дополнений сведений об одном товаре используется </w:t>
      </w:r>
      <w:r>
        <w:t>КДТ1</w:t>
      </w:r>
      <w:r>
        <w:rPr>
          <w:rStyle w:val="s0"/>
        </w:rPr>
        <w:t xml:space="preserve"> (</w:t>
      </w:r>
      <w:bookmarkStart w:id="19" w:name="sub1001461122"/>
      <w:r>
        <w:rPr>
          <w:rStyle w:val="s0"/>
        </w:rPr>
        <w:fldChar w:fldCharType="begin"/>
      </w:r>
      <w:r>
        <w:rPr>
          <w:rStyle w:val="s0"/>
        </w:rPr>
        <w:instrText xml:space="preserve"> HYPERLINK "jl:30753790.1%20"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приложение 1</w:t>
      </w:r>
      <w:r>
        <w:rPr>
          <w:rStyle w:val="s0"/>
        </w:rPr>
        <w:fldChar w:fldCharType="end"/>
      </w:r>
      <w:r>
        <w:rPr>
          <w:rStyle w:val="s0"/>
        </w:rPr>
        <w:t>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При внесении изменений и (или) дополнений сведений о двух и более товарах, заявленных в одной ДТ, в дополнение к </w:t>
      </w:r>
      <w:r>
        <w:t>КДТ1</w:t>
      </w:r>
      <w:r>
        <w:rPr>
          <w:rStyle w:val="s0"/>
        </w:rPr>
        <w:t xml:space="preserve"> используются </w:t>
      </w:r>
      <w:r>
        <w:t>КДТ2</w:t>
      </w:r>
      <w:r>
        <w:rPr>
          <w:rStyle w:val="s0"/>
        </w:rPr>
        <w:t xml:space="preserve"> (</w:t>
      </w:r>
      <w:hyperlink r:id="rId6" w:history="1">
        <w:r>
          <w:rPr>
            <w:rStyle w:val="a3"/>
            <w:b/>
            <w:bCs/>
            <w:color w:val="000080"/>
          </w:rPr>
          <w:t>приложение 1</w:t>
        </w:r>
      </w:hyperlink>
      <w:bookmarkEnd w:id="19"/>
      <w:r>
        <w:rPr>
          <w:rStyle w:val="s0"/>
        </w:rPr>
        <w:t>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В </w:t>
      </w:r>
      <w:r>
        <w:t>КДТ2</w:t>
      </w:r>
      <w:r>
        <w:rPr>
          <w:rStyle w:val="s0"/>
        </w:rPr>
        <w:t xml:space="preserve"> могут вноситься изменения и (или) дополнения по трем товарам.</w:t>
      </w:r>
    </w:p>
    <w:p w:rsidR="00505D2F" w:rsidRDefault="00505D2F" w:rsidP="00505D2F">
      <w:pPr>
        <w:ind w:firstLine="400"/>
        <w:jc w:val="both"/>
      </w:pPr>
      <w:bookmarkStart w:id="20" w:name="SUB1200"/>
      <w:bookmarkEnd w:id="20"/>
      <w:r>
        <w:rPr>
          <w:rStyle w:val="s0"/>
        </w:rPr>
        <w:t>12. КДТ составляется в двух экземплярах.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Первый экземпляр КДТ остается в таможенном органе и используется для таможенных целей.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Второй экземпляр КДТ возвращается декларанту или таможенному представителю.</w:t>
      </w:r>
    </w:p>
    <w:p w:rsidR="00505D2F" w:rsidRDefault="00505D2F" w:rsidP="00505D2F">
      <w:pPr>
        <w:ind w:firstLine="400"/>
        <w:jc w:val="both"/>
      </w:pPr>
      <w:bookmarkStart w:id="21" w:name="SUB1300"/>
      <w:bookmarkEnd w:id="21"/>
      <w:r>
        <w:rPr>
          <w:rStyle w:val="s0"/>
        </w:rPr>
        <w:t xml:space="preserve">13. При изменении и (или) дополнении сведений, заявленных в ДТ, после выпуска товаров в третьем подразделе графы 1 </w:t>
      </w:r>
      <w:r>
        <w:t>КДТ1</w:t>
      </w:r>
      <w:r>
        <w:rPr>
          <w:rStyle w:val="s0"/>
        </w:rPr>
        <w:t xml:space="preserve"> указывается буквенный код «ПВ», во втором подразделе графы 3 </w:t>
      </w:r>
      <w:r>
        <w:t>КДТ1</w:t>
      </w:r>
      <w:r>
        <w:rPr>
          <w:rStyle w:val="s0"/>
        </w:rPr>
        <w:t xml:space="preserve"> указывается общее количество листов КДТ, включая основной (</w:t>
      </w:r>
      <w:r>
        <w:t>КДТ1</w:t>
      </w:r>
      <w:r>
        <w:rPr>
          <w:rStyle w:val="s0"/>
        </w:rPr>
        <w:t>) и все дополнительные (</w:t>
      </w:r>
      <w:r>
        <w:t>КДТ2</w:t>
      </w:r>
      <w:r>
        <w:rPr>
          <w:rStyle w:val="s0"/>
        </w:rPr>
        <w:t>) листы.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В графы </w:t>
      </w:r>
      <w:r>
        <w:t>КДТ1</w:t>
      </w:r>
      <w:r>
        <w:rPr>
          <w:rStyle w:val="s0"/>
        </w:rPr>
        <w:t xml:space="preserve"> (</w:t>
      </w:r>
      <w:r>
        <w:t>КДТ2</w:t>
      </w:r>
      <w:r>
        <w:rPr>
          <w:rStyle w:val="s0"/>
        </w:rPr>
        <w:t xml:space="preserve">) вносятся следующие сведения из ДТ в </w:t>
      </w:r>
      <w:bookmarkStart w:id="22" w:name="sub1001465338"/>
      <w:r>
        <w:rPr>
          <w:rStyle w:val="s0"/>
        </w:rPr>
        <w:fldChar w:fldCharType="begin"/>
      </w:r>
      <w:r>
        <w:rPr>
          <w:rStyle w:val="s0"/>
        </w:rPr>
        <w:instrText xml:space="preserve"> HYPERLINK "jl:30758631.100%20"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порядке</w:t>
      </w:r>
      <w:r>
        <w:rPr>
          <w:rStyle w:val="s0"/>
        </w:rPr>
        <w:fldChar w:fldCharType="end"/>
      </w:r>
      <w:bookmarkEnd w:id="22"/>
      <w:r>
        <w:rPr>
          <w:rStyle w:val="s0"/>
        </w:rPr>
        <w:t>, установленном для заполнения соответствующих граф ДТ: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регистрационный номер ДТ;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сведения о декларанте;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порядковый номер товара, сведения о котором изменяются и (или) дополняются;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сведения о лице, заполнившем </w:t>
      </w:r>
      <w:r>
        <w:t>КДТ1</w:t>
      </w:r>
      <w:r>
        <w:rPr>
          <w:rStyle w:val="s0"/>
        </w:rPr>
        <w:t xml:space="preserve"> (</w:t>
      </w:r>
      <w:r>
        <w:t>КДТ2</w:t>
      </w:r>
      <w:r>
        <w:rPr>
          <w:rStyle w:val="s0"/>
        </w:rPr>
        <w:t>).</w:t>
      </w:r>
    </w:p>
    <w:p w:rsidR="00505D2F" w:rsidRDefault="00505D2F" w:rsidP="00505D2F">
      <w:pPr>
        <w:ind w:firstLine="400"/>
        <w:jc w:val="both"/>
      </w:pPr>
      <w:bookmarkStart w:id="23" w:name="SUB1400"/>
      <w:bookmarkEnd w:id="23"/>
      <w:r>
        <w:rPr>
          <w:rStyle w:val="s0"/>
        </w:rPr>
        <w:t xml:space="preserve">14. Измененные и (или) дополненные сведения вносятся в графы </w:t>
      </w:r>
      <w:r>
        <w:t>КДТ1</w:t>
      </w:r>
      <w:r>
        <w:rPr>
          <w:rStyle w:val="s0"/>
        </w:rPr>
        <w:t xml:space="preserve"> (</w:t>
      </w:r>
      <w:r>
        <w:t>КДТ2</w:t>
      </w:r>
      <w:r>
        <w:rPr>
          <w:rStyle w:val="s0"/>
        </w:rPr>
        <w:t>) в порядке, установленном для заполнения соответствующих граф ДТ.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КДТ удостоверяется декларантом или таможенным представителем, ее заполнившем, в порядке, установленном для ДТ.</w:t>
      </w:r>
    </w:p>
    <w:p w:rsidR="00505D2F" w:rsidRDefault="00505D2F" w:rsidP="00505D2F">
      <w:pPr>
        <w:ind w:firstLine="400"/>
        <w:jc w:val="both"/>
      </w:pPr>
      <w:bookmarkStart w:id="24" w:name="SUB1500"/>
      <w:bookmarkEnd w:id="24"/>
      <w:r>
        <w:rPr>
          <w:rStyle w:val="s0"/>
        </w:rPr>
        <w:t xml:space="preserve">15. При изменении и (или) дополнении сведений, заявленных в ДТ, после выпуска товаров должностным лицом в графе «D» ДТ и </w:t>
      </w:r>
      <w:r>
        <w:t>КДТ1</w:t>
      </w:r>
      <w:r>
        <w:rPr>
          <w:rStyle w:val="s0"/>
        </w:rPr>
        <w:t xml:space="preserve"> производятся соответствующие отметки в виде записи: «Скорректированы графы: _____» с указанием порядкового номера товара и номеров граф, в которые внесены изменения и (или) дополнения, реквизитов решения таможенного органа об изменении и (или) дополнении сведений, заявленных в ДТ, после выпуска товаров, и проставляется дата, подпись и оттиск личной номерной печати.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 данную графу также вносится код (коды) корректировки в соответствии с Классификатором типов корректировки ДТ после выпуска товаров (</w:t>
      </w:r>
      <w:bookmarkStart w:id="25" w:name="sub1001961664"/>
      <w:r>
        <w:fldChar w:fldCharType="begin"/>
      </w:r>
      <w:r>
        <w:instrText xml:space="preserve"> HYPERLINK "jl:30753790.2%20" </w:instrText>
      </w:r>
      <w:r>
        <w:fldChar w:fldCharType="separate"/>
      </w:r>
      <w:r>
        <w:rPr>
          <w:rStyle w:val="a3"/>
          <w:b/>
          <w:bCs/>
          <w:color w:val="000080"/>
        </w:rPr>
        <w:t>приложение 2</w:t>
      </w:r>
      <w:r>
        <w:fldChar w:fldCharType="end"/>
      </w:r>
      <w:bookmarkEnd w:id="25"/>
      <w:r>
        <w:rPr>
          <w:rStyle w:val="s0"/>
        </w:rPr>
        <w:t>), если иное не установлено законодательством государств-членов Таможенного союза.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Если внесение изменений и (или) дополнений в одну графу ДТ влечет за собой изменение иных граф ДТ, указывается код корректировки, который влечет за собой изменение сведений в иных графах ДТ.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lastRenderedPageBreak/>
        <w:t>В графе «С» КДТ должностным лицом производится запись «Корректировка произведена» и проставляется дата, подпись и оттиск личной номерной печати.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КДТ является неотъемлемой частью ДТ.</w:t>
      </w:r>
    </w:p>
    <w:p w:rsidR="00505D2F" w:rsidRDefault="00505D2F" w:rsidP="00505D2F">
      <w:pPr>
        <w:ind w:firstLine="400"/>
        <w:jc w:val="both"/>
      </w:pPr>
      <w:bookmarkStart w:id="26" w:name="SUB1600"/>
      <w:bookmarkEnd w:id="26"/>
      <w:r>
        <w:rPr>
          <w:rStyle w:val="s0"/>
        </w:rPr>
        <w:t>16. Изменение и (или) дополнение сведений, заявленных в ДТ, после выпуска товаров производится уполномоченным должностным лицом на основании КДТ путем корректировки электронной копии ДТ в порядке, установленном законодательством государств-членов Таможенного союза.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jc w:val="center"/>
      </w:pPr>
      <w:bookmarkStart w:id="27" w:name="SUB1700"/>
      <w:bookmarkEnd w:id="27"/>
      <w:r>
        <w:rPr>
          <w:rStyle w:val="s1"/>
        </w:rPr>
        <w:t>III. Переходные положения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17. В Республике Беларусь и Республике Казахстан внесение изменений и (или) дополнений в сведения, заявленные в ДТ, зарегистрированных таможенными органами до 1 января 2011 года, производится в порядке, установленном настоящей Инструкцией, с применением форм документов и порядка их заполнения, действовавших до 1 января 2011 года.</w:t>
      </w:r>
    </w:p>
    <w:p w:rsidR="00505D2F" w:rsidRDefault="00505D2F" w:rsidP="00505D2F">
      <w:pPr>
        <w:ind w:firstLine="400"/>
        <w:jc w:val="both"/>
      </w:pPr>
      <w:bookmarkStart w:id="28" w:name="SUB1800"/>
      <w:bookmarkEnd w:id="28"/>
      <w:r>
        <w:rPr>
          <w:rStyle w:val="s0"/>
        </w:rPr>
        <w:t>18. В Республике Беларусь до 1 июля 2012 года в качестве КДТ может использоваться ДТ, содержащая измененные и (или) дополненные сведения. Порядок применения и особенности заполнения формы ДТ, отражающей изменение и (или) дополнение этих сведений, определяется уполномоченным органом в области таможенного дела.</w:t>
      </w:r>
    </w:p>
    <w:p w:rsidR="00505D2F" w:rsidRDefault="00505D2F" w:rsidP="00505D2F">
      <w:r>
        <w:t> </w:t>
      </w:r>
    </w:p>
    <w:p w:rsidR="00505D2F" w:rsidRDefault="00505D2F" w:rsidP="00505D2F">
      <w:pPr>
        <w:jc w:val="right"/>
      </w:pPr>
      <w:bookmarkStart w:id="29" w:name="SUB1"/>
      <w:bookmarkEnd w:id="29"/>
      <w:r>
        <w:rPr>
          <w:rStyle w:val="s1"/>
        </w:rPr>
        <w:t>Решение Комиссии Таможенного союза от 20 мая 2010 года № 256</w:t>
      </w:r>
    </w:p>
    <w:p w:rsidR="00505D2F" w:rsidRDefault="00505D2F" w:rsidP="00505D2F">
      <w:pPr>
        <w:jc w:val="right"/>
      </w:pPr>
      <w:r>
        <w:rPr>
          <w:rStyle w:val="s1"/>
        </w:rPr>
        <w:t xml:space="preserve">О порядке внесения изменений и (или) дополнений в декларацию на товары до принятия решения </w:t>
      </w:r>
    </w:p>
    <w:p w:rsidR="00505D2F" w:rsidRDefault="00505D2F" w:rsidP="00505D2F">
      <w:pPr>
        <w:jc w:val="right"/>
      </w:pPr>
      <w:r>
        <w:rPr>
          <w:rStyle w:val="s1"/>
        </w:rPr>
        <w:t xml:space="preserve">о выпуске товаров </w:t>
      </w:r>
      <w:r w:rsidRPr="00505D2F">
        <w:rPr>
          <w:rStyle w:val="s1"/>
          <w:i/>
          <w:u w:val="single"/>
        </w:rPr>
        <w:t>при предварительном таможенном декларировании</w:t>
      </w:r>
    </w:p>
    <w:p w:rsidR="00505D2F" w:rsidRDefault="00505D2F" w:rsidP="00505D2F">
      <w:pPr>
        <w:jc w:val="right"/>
      </w:pPr>
      <w:r>
        <w:rPr>
          <w:rStyle w:val="s1"/>
        </w:rPr>
        <w:t>(г. Санкт-Петербург)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В соответствии со </w:t>
      </w:r>
      <w:bookmarkStart w:id="30" w:name="sub1001287797"/>
      <w:r>
        <w:fldChar w:fldCharType="begin"/>
      </w:r>
      <w:r>
        <w:instrText xml:space="preserve"> HYPERLINK "jl:30482970.1930000%20" </w:instrText>
      </w:r>
      <w:r>
        <w:fldChar w:fldCharType="separate"/>
      </w:r>
      <w:r>
        <w:rPr>
          <w:rStyle w:val="a3"/>
          <w:b/>
          <w:bCs/>
          <w:color w:val="000080"/>
        </w:rPr>
        <w:t>статьей 193</w:t>
      </w:r>
      <w:r>
        <w:fldChar w:fldCharType="end"/>
      </w:r>
      <w:r>
        <w:rPr>
          <w:rStyle w:val="s0"/>
        </w:rPr>
        <w:t xml:space="preserve"> Таможенного кодекса Таможенного союза Комиссия Таможенного союза </w:t>
      </w:r>
      <w:r>
        <w:rPr>
          <w:rStyle w:val="s0"/>
          <w:b/>
          <w:bCs/>
        </w:rPr>
        <w:t>решила</w:t>
      </w:r>
      <w:r>
        <w:rPr>
          <w:rStyle w:val="s0"/>
        </w:rPr>
        <w:t>: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1. Утвердить </w:t>
      </w:r>
      <w:bookmarkStart w:id="31" w:name="sub1001472362"/>
      <w:r>
        <w:rPr>
          <w:rStyle w:val="s0"/>
        </w:rPr>
        <w:fldChar w:fldCharType="begin"/>
      </w:r>
      <w:r>
        <w:rPr>
          <w:rStyle w:val="s0"/>
        </w:rPr>
        <w:instrText xml:space="preserve"> HYPERLINK "jl:30756647.100%20"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Инструкцию</w:t>
      </w:r>
      <w:r>
        <w:rPr>
          <w:rStyle w:val="s0"/>
        </w:rPr>
        <w:fldChar w:fldCharType="end"/>
      </w:r>
      <w:bookmarkEnd w:id="31"/>
      <w:r>
        <w:rPr>
          <w:rStyle w:val="s0"/>
        </w:rPr>
        <w:t xml:space="preserve"> о порядке внесения изменений и (или) дополнений в декларацию на товары до принятия решения о выпуске товаров при предварительном таможенном декларировании (</w:t>
      </w:r>
      <w:r>
        <w:t>прилагается</w:t>
      </w:r>
      <w:r>
        <w:rPr>
          <w:rStyle w:val="s0"/>
        </w:rPr>
        <w:t>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2. Настоящее решение вступает в силу с даты вступления в силу </w:t>
      </w:r>
      <w:r>
        <w:t>Договора о Таможенном кодексе Таможенного союза</w:t>
      </w:r>
      <w:r>
        <w:rPr>
          <w:rStyle w:val="s0"/>
        </w:rPr>
        <w:t>, утвержденного Решением Межгосударственного Совета Евразийского экономического сообщества (высшего органа Таможенного союза) на уровне глав государств от 27 ноября 2009 г. № 17.</w:t>
      </w:r>
    </w:p>
    <w:p w:rsidR="00505D2F" w:rsidRDefault="00505D2F" w:rsidP="00505D2F">
      <w:r>
        <w:t> </w:t>
      </w:r>
    </w:p>
    <w:p w:rsidR="00505D2F" w:rsidRDefault="00505D2F" w:rsidP="00505D2F">
      <w:pPr>
        <w:jc w:val="right"/>
      </w:pPr>
      <w:r>
        <w:rPr>
          <w:rStyle w:val="s0"/>
        </w:rPr>
        <w:t> </w:t>
      </w:r>
    </w:p>
    <w:p w:rsidR="00505D2F" w:rsidRDefault="00505D2F" w:rsidP="00505D2F">
      <w:pPr>
        <w:jc w:val="right"/>
      </w:pPr>
      <w:r>
        <w:rPr>
          <w:rStyle w:val="s0"/>
        </w:rPr>
        <w:t>УТВЕРЖДЕНА</w:t>
      </w:r>
    </w:p>
    <w:bookmarkStart w:id="32" w:name="sub1001472361"/>
    <w:p w:rsidR="00505D2F" w:rsidRDefault="00505D2F" w:rsidP="00505D2F">
      <w:pPr>
        <w:jc w:val="right"/>
      </w:pPr>
      <w:r>
        <w:rPr>
          <w:rStyle w:val="s0"/>
        </w:rPr>
        <w:fldChar w:fldCharType="begin"/>
      </w:r>
      <w:r>
        <w:rPr>
          <w:rStyle w:val="s0"/>
        </w:rPr>
        <w:instrText xml:space="preserve"> HYPERLINK "jl:30756647.0%20" </w:instrText>
      </w:r>
      <w:r>
        <w:rPr>
          <w:rStyle w:val="s0"/>
        </w:rPr>
        <w:fldChar w:fldCharType="separate"/>
      </w:r>
      <w:r>
        <w:rPr>
          <w:rStyle w:val="a3"/>
          <w:b/>
          <w:bCs/>
          <w:color w:val="000080"/>
        </w:rPr>
        <w:t>Решением</w:t>
      </w:r>
      <w:r>
        <w:rPr>
          <w:rStyle w:val="s0"/>
        </w:rPr>
        <w:fldChar w:fldCharType="end"/>
      </w:r>
      <w:bookmarkEnd w:id="32"/>
      <w:r>
        <w:rPr>
          <w:rStyle w:val="s0"/>
        </w:rPr>
        <w:t xml:space="preserve"> Комиссии </w:t>
      </w:r>
    </w:p>
    <w:p w:rsidR="00505D2F" w:rsidRDefault="00505D2F" w:rsidP="00505D2F">
      <w:pPr>
        <w:jc w:val="right"/>
      </w:pPr>
      <w:r>
        <w:rPr>
          <w:rStyle w:val="s0"/>
        </w:rPr>
        <w:t>Таможенного союза</w:t>
      </w:r>
    </w:p>
    <w:p w:rsidR="00505D2F" w:rsidRDefault="00505D2F" w:rsidP="00505D2F">
      <w:pPr>
        <w:jc w:val="right"/>
      </w:pPr>
      <w:r>
        <w:rPr>
          <w:rStyle w:val="s0"/>
        </w:rPr>
        <w:t>от 20 мая 2010 года № 256</w:t>
      </w:r>
    </w:p>
    <w:p w:rsidR="00505D2F" w:rsidRDefault="00505D2F" w:rsidP="00505D2F">
      <w:pPr>
        <w:jc w:val="center"/>
      </w:pPr>
      <w:r>
        <w:rPr>
          <w:rStyle w:val="s1"/>
        </w:rPr>
        <w:lastRenderedPageBreak/>
        <w:t> </w:t>
      </w:r>
    </w:p>
    <w:p w:rsidR="00505D2F" w:rsidRDefault="00505D2F" w:rsidP="00505D2F">
      <w:pPr>
        <w:jc w:val="center"/>
      </w:pPr>
      <w:r>
        <w:rPr>
          <w:rStyle w:val="s1"/>
        </w:rPr>
        <w:t xml:space="preserve">Инструкция </w:t>
      </w:r>
    </w:p>
    <w:p w:rsidR="00505D2F" w:rsidRDefault="00505D2F" w:rsidP="00505D2F">
      <w:pPr>
        <w:jc w:val="center"/>
      </w:pPr>
      <w:r>
        <w:rPr>
          <w:rStyle w:val="s1"/>
        </w:rPr>
        <w:t>о порядке внесения изменений и (или) дополнений в декларацию на товары</w:t>
      </w:r>
    </w:p>
    <w:p w:rsidR="00505D2F" w:rsidRDefault="00505D2F" w:rsidP="00505D2F">
      <w:pPr>
        <w:jc w:val="center"/>
      </w:pPr>
      <w:r>
        <w:rPr>
          <w:rStyle w:val="s1"/>
        </w:rPr>
        <w:t>до принятия решения о выпуске товаров при предварительном таможенном декларировании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1. Настоящая Инструкция по внесению изменений и (или) дополнений в декларацию на товары до принятия решения о выпуске товаров при предварительном таможенном декларировании (далее - Инструкция) разработана в соответствии со </w:t>
      </w:r>
      <w:hyperlink r:id="rId7" w:history="1">
        <w:r>
          <w:rPr>
            <w:rStyle w:val="a3"/>
            <w:b/>
            <w:bCs/>
            <w:color w:val="000080"/>
          </w:rPr>
          <w:t>статьей 193</w:t>
        </w:r>
      </w:hyperlink>
      <w:bookmarkEnd w:id="30"/>
      <w:r>
        <w:rPr>
          <w:rStyle w:val="s0"/>
        </w:rPr>
        <w:t xml:space="preserve"> Таможенного кодекса Таможенного союза и определяет порядок внесения изменений и (или) дополнений в декларацию на товары (далее - ДТ) до принятия решения о выпуске товаров при предварительном таможенном декларировании (далее - предварительное декларирование).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2. Сведения, заявленные в ДТ, при предварительном декларировании товаров могут быть изменены и (или) дополнены на основании письменного обращения декларанта либо таможенного представителя до выпуска товаров (далее - обращение) в случаях установления или выявления недостаточности и (или) несоответствия сведений о товарах, заявленных в ДТ, сведениям, подлежащим заявлению, согласно установленному порядку заполнения ДТ.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3. Обращение составляется в произвольной форме, с указанием регистрационного номера ДТ и перечня вносимых изменений и (или) дополнений. 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4. К обращению прилагается корректировка декларации на товары (далее - КДТ), заполненная по установленной форме (КДТ1, КДТ2).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При внесении изменений и (или) дополнений сведений об одном товаре используется КДТ1.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При внесении изменений и (или) дополнений сведений о двух и более товарах, заявленных в одной ДТ, в дополнение к КДТ1 используются КДТ2.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 КДТ2 могут вноситься изменения и (или) дополнения по трем товарам.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КДТ подается в таможенный орган в двух экземплярах.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Первый экземпляр КДТ остается в таможенном органе и используется для таможенных целей. 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Второй экземпляр КДТ возвращается декларанту или таможенному представителю.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Одновременно с подачей КДТ в таможенный орган подается скорректированная электронная копия ДТ.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5. При изменении и (или) дополнении сведений, заявленных в ДТ, при предварительном декларировании товаров в третьем подразделе графы 1 КДТ1 указывается символ «ПД», во втором подразделе графы 3 КДТ1 указывается общее количество листов КДТ, включая основной лист (КДТ1) и все дополнительные листы (КДТ2).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В графы КДТ1 (КДТ2) вносятся следующие сведения из ДТ в </w:t>
      </w:r>
      <w:hyperlink r:id="rId8" w:history="1">
        <w:r>
          <w:rPr>
            <w:rStyle w:val="a3"/>
            <w:b/>
            <w:bCs/>
            <w:color w:val="000080"/>
          </w:rPr>
          <w:t>порядке</w:t>
        </w:r>
      </w:hyperlink>
      <w:r>
        <w:rPr>
          <w:rStyle w:val="s0"/>
        </w:rPr>
        <w:t xml:space="preserve">, установленном для заполнения соответствующих граф ДТ: 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lastRenderedPageBreak/>
        <w:t>регистрационный номер ДТ;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сведения о декларанте (в КДТ2 не указываются);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порядковый номер товара, сведения о котором изменяются и (или) дополняются; 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сведения о лице, заполнившем КДТ1 (КДТ2).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Измененные и (или) дополненные сведения вносятся в графы КДТ1 (КДТ2) в порядке, установленном для заполнения соответствующих граф ДТ.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 xml:space="preserve">КДТ удостоверяется декларантом или таможенным представителем, ее заполнившем, в порядке, установленном для ДТ. 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6. При изменении и (или) дополнении сведений, заявленных в ДТ, при предварительном декларировании товаров должностным лицом в графе «D» ДТ и КДТ1 производятся соответствующие отметки в виде записи: «Скорректированы графы: _____» с указанием порядкового номера товара и номеров граф, в которые внесены изменения и (или) дополнения, реквизитов решения таможенного органа об изменении и (или) дополнении сведений, заявленных в ДТ, и проставляется дата, подпись и оттиск личной номерной печати.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В графе «С» КДТ должностным лицом производится запись «Корректировка произведена» и проставляется дата, подпись и оттиск личной номерной печати.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КДТ является неотъемлемой частью ДТ.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7. Изменение и (или) дополнение сведений, заявленных в ДТ, при предварительном декларировании товаров производится уполномоченным должностным лицом на основании КДТ путем корректировки электронной копии ДТ в порядке, установленном законодательством государств-членов Таможенного союза.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ind w:firstLine="400"/>
        <w:jc w:val="both"/>
      </w:pPr>
      <w:r>
        <w:rPr>
          <w:rStyle w:val="s0"/>
        </w:rPr>
        <w:t> </w:t>
      </w:r>
    </w:p>
    <w:p w:rsidR="00505D2F" w:rsidRDefault="00505D2F" w:rsidP="00505D2F">
      <w:pPr>
        <w:jc w:val="both"/>
      </w:pPr>
    </w:p>
    <w:p w:rsidR="00CD1139" w:rsidRDefault="00CD1139"/>
    <w:sectPr w:rsidR="00CD1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2F"/>
    <w:rsid w:val="00102679"/>
    <w:rsid w:val="00345F68"/>
    <w:rsid w:val="00495123"/>
    <w:rsid w:val="00505D2F"/>
    <w:rsid w:val="00917F0A"/>
    <w:rsid w:val="00CD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C7F38-C123-4CA5-9F5C-B4713676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D2F"/>
    <w:rPr>
      <w:rFonts w:ascii="Times New Roman" w:eastAsia="Times New Roman" w:hAnsi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05D2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rsid w:val="00505D2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3">
    <w:name w:val="Hyperlink"/>
    <w:uiPriority w:val="99"/>
    <w:semiHidden/>
    <w:unhideWhenUsed/>
    <w:rsid w:val="00505D2F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rsid w:val="00505D2F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8"/>
      <w:szCs w:val="28"/>
      <w:u w:val="none"/>
      <w:effect w:val="none"/>
    </w:rPr>
  </w:style>
  <w:style w:type="character" w:customStyle="1" w:styleId="s9">
    <w:name w:val="s9"/>
    <w:rsid w:val="00505D2F"/>
    <w:rPr>
      <w:i/>
      <w:iCs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758631.100%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l:30482970.1930000%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l:30753790.1%20" TargetMode="External"/><Relationship Id="rId5" Type="http://schemas.openxmlformats.org/officeDocument/2006/relationships/hyperlink" Target="jl:30482970.990000%20" TargetMode="External"/><Relationship Id="rId10" Type="http://schemas.openxmlformats.org/officeDocument/2006/relationships/theme" Target="theme/theme1.xml"/><Relationship Id="rId4" Type="http://schemas.openxmlformats.org/officeDocument/2006/relationships/hyperlink" Target="jl:30482970.1910200%2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2681</Words>
  <Characters>15284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17930</CharactersWithSpaces>
  <SharedDoc>false</SharedDoc>
  <HLinks>
    <vt:vector size="102" baseType="variant">
      <vt:variant>
        <vt:i4>6094931</vt:i4>
      </vt:variant>
      <vt:variant>
        <vt:i4>48</vt:i4>
      </vt:variant>
      <vt:variant>
        <vt:i4>0</vt:i4>
      </vt:variant>
      <vt:variant>
        <vt:i4>5</vt:i4>
      </vt:variant>
      <vt:variant>
        <vt:lpwstr>jl:30758631.100 </vt:lpwstr>
      </vt:variant>
      <vt:variant>
        <vt:lpwstr/>
      </vt:variant>
      <vt:variant>
        <vt:i4>5832787</vt:i4>
      </vt:variant>
      <vt:variant>
        <vt:i4>45</vt:i4>
      </vt:variant>
      <vt:variant>
        <vt:i4>0</vt:i4>
      </vt:variant>
      <vt:variant>
        <vt:i4>5</vt:i4>
      </vt:variant>
      <vt:variant>
        <vt:lpwstr>jl:30482970.1930000 </vt:lpwstr>
      </vt:variant>
      <vt:variant>
        <vt:lpwstr/>
      </vt:variant>
      <vt:variant>
        <vt:i4>6553700</vt:i4>
      </vt:variant>
      <vt:variant>
        <vt:i4>42</vt:i4>
      </vt:variant>
      <vt:variant>
        <vt:i4>0</vt:i4>
      </vt:variant>
      <vt:variant>
        <vt:i4>5</vt:i4>
      </vt:variant>
      <vt:variant>
        <vt:lpwstr>jl:30756647.0 </vt:lpwstr>
      </vt:variant>
      <vt:variant>
        <vt:lpwstr/>
      </vt:variant>
      <vt:variant>
        <vt:i4>5505109</vt:i4>
      </vt:variant>
      <vt:variant>
        <vt:i4>39</vt:i4>
      </vt:variant>
      <vt:variant>
        <vt:i4>0</vt:i4>
      </vt:variant>
      <vt:variant>
        <vt:i4>5</vt:i4>
      </vt:variant>
      <vt:variant>
        <vt:lpwstr>jl:30756647.100 </vt:lpwstr>
      </vt:variant>
      <vt:variant>
        <vt:lpwstr/>
      </vt:variant>
      <vt:variant>
        <vt:i4>5832787</vt:i4>
      </vt:variant>
      <vt:variant>
        <vt:i4>36</vt:i4>
      </vt:variant>
      <vt:variant>
        <vt:i4>0</vt:i4>
      </vt:variant>
      <vt:variant>
        <vt:i4>5</vt:i4>
      </vt:variant>
      <vt:variant>
        <vt:lpwstr>jl:30482970.1930000 </vt:lpwstr>
      </vt:variant>
      <vt:variant>
        <vt:lpwstr/>
      </vt:variant>
      <vt:variant>
        <vt:i4>7077984</vt:i4>
      </vt:variant>
      <vt:variant>
        <vt:i4>33</vt:i4>
      </vt:variant>
      <vt:variant>
        <vt:i4>0</vt:i4>
      </vt:variant>
      <vt:variant>
        <vt:i4>5</vt:i4>
      </vt:variant>
      <vt:variant>
        <vt:lpwstr>jl:30753790.2 </vt:lpwstr>
      </vt:variant>
      <vt:variant>
        <vt:lpwstr/>
      </vt:variant>
      <vt:variant>
        <vt:i4>6094931</vt:i4>
      </vt:variant>
      <vt:variant>
        <vt:i4>30</vt:i4>
      </vt:variant>
      <vt:variant>
        <vt:i4>0</vt:i4>
      </vt:variant>
      <vt:variant>
        <vt:i4>5</vt:i4>
      </vt:variant>
      <vt:variant>
        <vt:lpwstr>jl:30758631.100 </vt:lpwstr>
      </vt:variant>
      <vt:variant>
        <vt:lpwstr/>
      </vt:variant>
      <vt:variant>
        <vt:i4>7077987</vt:i4>
      </vt:variant>
      <vt:variant>
        <vt:i4>27</vt:i4>
      </vt:variant>
      <vt:variant>
        <vt:i4>0</vt:i4>
      </vt:variant>
      <vt:variant>
        <vt:i4>5</vt:i4>
      </vt:variant>
      <vt:variant>
        <vt:lpwstr>jl:30753790.1 </vt:lpwstr>
      </vt:variant>
      <vt:variant>
        <vt:lpwstr/>
      </vt:variant>
      <vt:variant>
        <vt:i4>7077987</vt:i4>
      </vt:variant>
      <vt:variant>
        <vt:i4>24</vt:i4>
      </vt:variant>
      <vt:variant>
        <vt:i4>0</vt:i4>
      </vt:variant>
      <vt:variant>
        <vt:i4>5</vt:i4>
      </vt:variant>
      <vt:variant>
        <vt:lpwstr>jl:30753790.1 </vt:lpwstr>
      </vt:variant>
      <vt:variant>
        <vt:lpwstr/>
      </vt:variant>
      <vt:variant>
        <vt:i4>7864423</vt:i4>
      </vt:variant>
      <vt:variant>
        <vt:i4>21</vt:i4>
      </vt:variant>
      <vt:variant>
        <vt:i4>0</vt:i4>
      </vt:variant>
      <vt:variant>
        <vt:i4>5</vt:i4>
      </vt:variant>
      <vt:variant>
        <vt:lpwstr>jl:30482970.680000 </vt:lpwstr>
      </vt:variant>
      <vt:variant>
        <vt:lpwstr/>
      </vt:variant>
      <vt:variant>
        <vt:i4>7929960</vt:i4>
      </vt:variant>
      <vt:variant>
        <vt:i4>18</vt:i4>
      </vt:variant>
      <vt:variant>
        <vt:i4>0</vt:i4>
      </vt:variant>
      <vt:variant>
        <vt:i4>5</vt:i4>
      </vt:variant>
      <vt:variant>
        <vt:lpwstr>jl:30482970.990000 </vt:lpwstr>
      </vt:variant>
      <vt:variant>
        <vt:lpwstr/>
      </vt:variant>
      <vt:variant>
        <vt:i4>7929960</vt:i4>
      </vt:variant>
      <vt:variant>
        <vt:i4>15</vt:i4>
      </vt:variant>
      <vt:variant>
        <vt:i4>0</vt:i4>
      </vt:variant>
      <vt:variant>
        <vt:i4>5</vt:i4>
      </vt:variant>
      <vt:variant>
        <vt:lpwstr>jl:30482970.990000 </vt:lpwstr>
      </vt:variant>
      <vt:variant>
        <vt:lpwstr/>
      </vt:variant>
      <vt:variant>
        <vt:i4>5832787</vt:i4>
      </vt:variant>
      <vt:variant>
        <vt:i4>12</vt:i4>
      </vt:variant>
      <vt:variant>
        <vt:i4>0</vt:i4>
      </vt:variant>
      <vt:variant>
        <vt:i4>5</vt:i4>
      </vt:variant>
      <vt:variant>
        <vt:lpwstr>jl:30482970.1910200 </vt:lpwstr>
      </vt:variant>
      <vt:variant>
        <vt:lpwstr/>
      </vt:variant>
      <vt:variant>
        <vt:i4>7077986</vt:i4>
      </vt:variant>
      <vt:variant>
        <vt:i4>9</vt:i4>
      </vt:variant>
      <vt:variant>
        <vt:i4>0</vt:i4>
      </vt:variant>
      <vt:variant>
        <vt:i4>5</vt:i4>
      </vt:variant>
      <vt:variant>
        <vt:lpwstr>jl:30753790.0 </vt:lpwstr>
      </vt:variant>
      <vt:variant>
        <vt:lpwstr/>
      </vt:variant>
      <vt:variant>
        <vt:i4>5570640</vt:i4>
      </vt:variant>
      <vt:variant>
        <vt:i4>6</vt:i4>
      </vt:variant>
      <vt:variant>
        <vt:i4>0</vt:i4>
      </vt:variant>
      <vt:variant>
        <vt:i4>5</vt:i4>
      </vt:variant>
      <vt:variant>
        <vt:lpwstr>jl:30529480.600 </vt:lpwstr>
      </vt:variant>
      <vt:variant>
        <vt:lpwstr/>
      </vt:variant>
      <vt:variant>
        <vt:i4>6029395</vt:i4>
      </vt:variant>
      <vt:variant>
        <vt:i4>3</vt:i4>
      </vt:variant>
      <vt:variant>
        <vt:i4>0</vt:i4>
      </vt:variant>
      <vt:variant>
        <vt:i4>5</vt:i4>
      </vt:variant>
      <vt:variant>
        <vt:lpwstr>jl:30753790.100 </vt:lpwstr>
      </vt:variant>
      <vt:variant>
        <vt:lpwstr/>
      </vt:variant>
      <vt:variant>
        <vt:i4>5832787</vt:i4>
      </vt:variant>
      <vt:variant>
        <vt:i4>0</vt:i4>
      </vt:variant>
      <vt:variant>
        <vt:i4>0</vt:i4>
      </vt:variant>
      <vt:variant>
        <vt:i4>5</vt:i4>
      </vt:variant>
      <vt:variant>
        <vt:lpwstr>jl:30482970.1910200 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Бражникова</dc:creator>
  <cp:keywords/>
  <cp:lastModifiedBy>Евгений Бреусов</cp:lastModifiedBy>
  <cp:revision>2</cp:revision>
  <dcterms:created xsi:type="dcterms:W3CDTF">2015-07-24T09:40:00Z</dcterms:created>
  <dcterms:modified xsi:type="dcterms:W3CDTF">2015-07-24T09:40:00Z</dcterms:modified>
</cp:coreProperties>
</file>